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A2" w:rsidRPr="002936F0" w:rsidRDefault="000B4C55" w:rsidP="00D019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четная политика для целей бухгалтерского учета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разработана в соответствии:</w:t>
      </w:r>
    </w:p>
    <w:p w:rsidR="007C3EA2" w:rsidRDefault="00342F6D" w:rsidP="00787C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 Инструкцией к Единому плану счетов № 157н «Об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157н);</w:t>
      </w:r>
    </w:p>
    <w:p w:rsidR="007C3EA2" w:rsidRDefault="00342F6D" w:rsidP="00787C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174н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бюджетных учреждений и Инструкции по его применению»</w:t>
      </w:r>
      <w:r>
        <w:rPr>
          <w:rFonts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7C3EA2" w:rsidRPr="002936F0" w:rsidRDefault="00342F6D" w:rsidP="00787C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— приказ № 82н);</w:t>
      </w:r>
    </w:p>
    <w:p w:rsidR="007C3EA2" w:rsidRPr="002936F0" w:rsidRDefault="00342F6D" w:rsidP="00787C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29.11.2017 № 209н «Об утверждении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 № 209н);</w:t>
      </w:r>
    </w:p>
    <w:p w:rsidR="007C3EA2" w:rsidRDefault="00342F6D" w:rsidP="00787C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7C3EA2" w:rsidRDefault="00342F6D" w:rsidP="00787C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61н);</w:t>
      </w:r>
    </w:p>
    <w:p w:rsidR="007C3EA2" w:rsidRPr="002936F0" w:rsidRDefault="00342F6D" w:rsidP="00787C0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 Минфина от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.12.2010 №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 «</w:t>
      </w:r>
      <w:r w:rsidR="002936F0" w:rsidRPr="002936F0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Плана счетов бухгалтерского учета бюджетных учреждений и Инструкции по его применению» (далее – Инструкция № 174н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DF518A" w:rsidRPr="00DF518A" w:rsidRDefault="00DF518A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9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6"/>
        <w:gridCol w:w="7735"/>
      </w:tblGrid>
      <w:tr w:rsidR="007C3EA2" w:rsidTr="00DF518A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7C3EA2" w:rsidRPr="00DF518A" w:rsidTr="00DF518A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7C3EA2" w:rsidRPr="00DF518A" w:rsidTr="00DF518A">
        <w:trPr>
          <w:trHeight w:val="1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2936F0">
              <w:rPr>
                <w:lang w:val="ru-RU"/>
              </w:rPr>
              <w:br/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2936F0">
              <w:rPr>
                <w:lang w:val="ru-RU"/>
              </w:rPr>
              <w:br/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 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</w:tbl>
    <w:p w:rsidR="007C3EA2" w:rsidRPr="002936F0" w:rsidRDefault="00342F6D" w:rsidP="00787C01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I</w:t>
      </w:r>
      <w:r w:rsidRPr="002936F0">
        <w:rPr>
          <w:b/>
          <w:bCs/>
          <w:color w:val="252525"/>
          <w:spacing w:val="-2"/>
          <w:sz w:val="48"/>
          <w:szCs w:val="48"/>
          <w:lang w:val="ru-RU"/>
        </w:rPr>
        <w:t>. Общие положения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 Ответственным за ведение бухгалтерского учета в учреждении является главный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 обособленных подразделениях учреждения, имеющих лицевые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территориальных органах Федерального казначейства, ведут бухгалтерии этих подразделений.</w:t>
      </w:r>
    </w:p>
    <w:p w:rsidR="00E015F1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3. В учреждении действуют постоянные комиссии: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постоянно действующей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положением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 1);</w:t>
      </w:r>
      <w:r w:rsidR="00575E12" w:rsidRPr="00D019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</w:t>
      </w:r>
      <w:r w:rsid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порядком проведения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E015F1" w:rsidRPr="00D01964">
        <w:rPr>
          <w:rFonts w:hAnsi="Times New Roman" w:cs="Times New Roman"/>
          <w:sz w:val="24"/>
          <w:szCs w:val="24"/>
          <w:lang w:val="ru-RU"/>
        </w:rPr>
        <w:t xml:space="preserve"> 2).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575E1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пункты 17, 20, 32 СГС «Учетная политика, оценочные значения и 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ведется: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централизованной бухгалтерией. </w:t>
      </w:r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Налоговый учет ведется: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централизованной бухгалтерией. </w:t>
      </w:r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При обработке учетной информации применяется: 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автоматизированный учет ( Бухгалтерия 1С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:П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редприятие, Зарплата и кадры 1С:Предприятие)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журналы операций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Деятельность бухгалтерской службы регламентируется: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должностными инструкциями сотрудников бухгалтерии; 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распоряжениями руководства;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положениями о бухгалтерской службе;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отдельными приказами.</w:t>
      </w:r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Требования Главного бухгалтера по документальному оформлению хозяйственных операций и представлению в бухгалтерские службы учреждения необходимых документов и сведений обязательны для всех работников учреждения, включая 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работников структурных подразделений, наделенных полномочиями в части ведения отдельного баланса. </w:t>
      </w:r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По функциональному признаку в бухгалтерской службе выделяются следующие группы учета: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а) финансовая группа (кассовые операции, печать платежных поручений на финансирование бюджетному  учреждению (субсидии) и печать текущих платежей по  учреждению);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б) группа по учету расходов по организации питания и родительской плате (принятие и проверка накладных по приходу продуктов питания и по расходу (меню-требования), начисление и выплата компенсации части родительской платы за содержание ребенка в учреждении);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в) материальная группа (учет основных средств, материальных запасов, расчеты с поставщиками, прием авансовых отчетов и их обработка, заключение договор с поставщиками по предоставлению коммунальных услуг)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г) расчетная группа</w:t>
      </w:r>
      <w:r w:rsidR="00787C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учет расчетов с персоналом)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д) планово-экономическая группа (распределение утвержденного бюджета и формирование бюджетной росписи на текущий год, 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поступлением и расходованием денежных средств, контроль за целевым и своевременным исполнением договорных обязательств, заключенных образовательным учреждением)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е) ревизионная группа (осуществление контрольных мероприятий).</w:t>
      </w:r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Главному бухгалтеру запрещается принимать к исполнению и оформлению документы по операциям, противоречащим законодательству и нарушающим договорную и финансовую дисциплину. </w:t>
      </w:r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Учреждением ведется раздельный учет по источникам финансирования: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2. приносящая доход деятельность (собственные доходы учреждения);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3. средства во временном распоряжении;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4. субсидии на выполнение государственного (муниципального) задания;</w:t>
      </w:r>
    </w:p>
    <w:p w:rsidR="00575E12" w:rsidRP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5. субсидии на иные цели;</w:t>
      </w:r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Расходы учреждения по приобретению товарно-материальных ценностей, работ, услуг     распределяются по соответствующим источникам </w:t>
      </w:r>
      <w:proofErr w:type="gram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proofErr w:type="gram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учет ведется обособленно.</w:t>
      </w:r>
    </w:p>
    <w:p w:rsidR="00575E12" w:rsidRPr="00575E12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Для ведения бухгалтерского учета в учреждении в целом применяются формы первичных документов класса </w:t>
      </w:r>
      <w:proofErr w:type="spellStart"/>
      <w:proofErr w:type="gram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proofErr w:type="spellEnd"/>
      <w:proofErr w:type="gram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05, утвержденные приказом МФ РФ от </w:t>
      </w:r>
      <w:proofErr w:type="spell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N 52н.  </w:t>
      </w:r>
      <w:r w:rsidR="00575E12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="004840E4" w:rsidRPr="00D01964">
        <w:rPr>
          <w:rFonts w:hAnsi="Times New Roman" w:cs="Times New Roman"/>
          <w:sz w:val="24"/>
          <w:szCs w:val="24"/>
          <w:lang w:val="ru-RU"/>
        </w:rPr>
        <w:t>3</w:t>
      </w:r>
    </w:p>
    <w:p w:rsidR="00E25C64" w:rsidRPr="00E25C64" w:rsidRDefault="00F2674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5C64" w:rsidRPr="00E25C64">
        <w:rPr>
          <w:rFonts w:hAnsi="Times New Roman" w:cs="Times New Roman"/>
          <w:color w:val="000000"/>
          <w:sz w:val="24"/>
          <w:szCs w:val="24"/>
          <w:lang w:val="ru-RU"/>
        </w:rPr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E25C64" w:rsidRPr="00E25C64" w:rsidRDefault="00E25C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самостоятельно разработанные формы, которые приведены в 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="004840E4" w:rsidRPr="00D01964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D01964">
        <w:rPr>
          <w:rFonts w:hAnsi="Times New Roman" w:cs="Times New Roman"/>
          <w:sz w:val="24"/>
          <w:szCs w:val="24"/>
          <w:lang w:val="ru-RU"/>
        </w:rPr>
        <w:t>;</w:t>
      </w:r>
    </w:p>
    <w:p w:rsidR="00E25C64" w:rsidRPr="00E25C64" w:rsidRDefault="00E25C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ab/>
        <w:t>унифицированные формы, дополненные необходимыми реквизитами.</w:t>
      </w:r>
    </w:p>
    <w:p w:rsidR="00E25C64" w:rsidRDefault="00E25C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575E12" w:rsidRDefault="00575E1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F26749" w:rsidP="00787C01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="00342F6D">
        <w:rPr>
          <w:b/>
          <w:bCs/>
          <w:color w:val="252525"/>
          <w:spacing w:val="-2"/>
          <w:sz w:val="48"/>
          <w:szCs w:val="48"/>
        </w:rPr>
        <w:t>I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7C3EA2" w:rsidRPr="002936F0" w:rsidRDefault="004840E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К учету принимаются документы о приемке, универсальный передаточный документ или счет-фактура от контрагентов (поставщиков, исполнителей, подрядчиков), 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руководителя.</w:t>
      </w:r>
    </w:p>
    <w:p w:rsidR="007C3EA2" w:rsidRPr="002936F0" w:rsidRDefault="004840E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7C3EA2" w:rsidRPr="002936F0" w:rsidRDefault="00342F6D" w:rsidP="00787C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 о приеме-передаче объектов нефинансовых активов (ф. 0510448);</w:t>
      </w:r>
    </w:p>
    <w:p w:rsidR="007C3EA2" w:rsidRPr="002936F0" w:rsidRDefault="00342F6D" w:rsidP="00787C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Накладная на внутреннее перемещение объектов нефинансовых активов (ф. 0510450);</w:t>
      </w:r>
    </w:p>
    <w:p w:rsidR="007C3EA2" w:rsidRDefault="00342F6D" w:rsidP="00787C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Требование-накладная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0510451);</w:t>
      </w:r>
    </w:p>
    <w:p w:rsidR="007C3EA2" w:rsidRPr="002936F0" w:rsidRDefault="00342F6D" w:rsidP="00787C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 приемки товаров, работ, услуг (ф. 0510452);</w:t>
      </w:r>
    </w:p>
    <w:p w:rsidR="007C3EA2" w:rsidRPr="002936F0" w:rsidRDefault="00342F6D" w:rsidP="00787C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7C3EA2" w:rsidRPr="002936F0" w:rsidRDefault="00342F6D" w:rsidP="00787C0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Карточка учета капитальных вложений (ф. 0509211);</w:t>
      </w:r>
    </w:p>
    <w:p w:rsidR="007C3EA2" w:rsidRPr="002936F0" w:rsidRDefault="00342F6D" w:rsidP="00787C0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Карточка учета права пользования нефинансовым активом (ф. 0509214).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электронных регистров бухучета осуществляется в 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учетные документы по датам совершения операций, дате принятия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первичного документа;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операций (ф. 0509213) по всем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 случае, если в отчетном месяце были обороты по счету;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рабочий день месяца;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последний рабочий день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со сведениями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 начисленной амортизации;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года;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заполняются ежемесячно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месяца;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7C3EA2" w:rsidRPr="002936F0" w:rsidRDefault="00342F6D" w:rsidP="00787C01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установлено законодательством РФ.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Журнал операций расчетов по оплате труда, денежному довольствию (ф. 0504071) ведется раздельно по кодам финансового обеспечения деятельности и раздельно по счетам: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Х.302.14.000 «Расчеты по 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КБК Х.302.66.000 «Расчеты по социальным пособиям и компенсациям персоналу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 КБК Х.302.67.000 «Расчеты по социальным компенсациям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персоналу в натуральной форме»;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лицам».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</w:t>
      </w:r>
      <w:r w:rsidR="00342F6D" w:rsidRPr="004840E4">
        <w:rPr>
          <w:rFonts w:hAnsi="Times New Roman" w:cs="Times New Roman"/>
          <w:color w:val="0070C0"/>
          <w:sz w:val="24"/>
          <w:szCs w:val="24"/>
          <w:lang w:val="ru-RU"/>
        </w:rPr>
        <w:t>приложению</w:t>
      </w:r>
      <w:r w:rsidR="004840E4" w:rsidRPr="004840E4">
        <w:rPr>
          <w:rFonts w:hAnsi="Times New Roman" w:cs="Times New Roman"/>
          <w:color w:val="0070C0"/>
          <w:sz w:val="24"/>
          <w:szCs w:val="24"/>
          <w:lang w:val="ru-RU"/>
        </w:rPr>
        <w:t xml:space="preserve"> 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5570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урналы операций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ведутся отдельно. Журналы операций подписываются главным бухгалтером 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Журналы операций (ф. 0504071) ведутся раздельно по кодам финансового обеспечения. Журналы формируются ежемесячно в последний день месяца. К журналам прилагаются первичные учетные документы согласно </w:t>
      </w:r>
      <w:r w:rsidRPr="004840E4">
        <w:rPr>
          <w:rFonts w:hAnsi="Times New Roman" w:cs="Times New Roman"/>
          <w:color w:val="0070C0"/>
          <w:sz w:val="24"/>
          <w:szCs w:val="24"/>
          <w:lang w:val="ru-RU"/>
        </w:rPr>
        <w:t>приложению</w:t>
      </w:r>
      <w:r w:rsidR="004840E4" w:rsidRPr="004840E4">
        <w:rPr>
          <w:rFonts w:hAnsi="Times New Roman" w:cs="Times New Roman"/>
          <w:color w:val="0070C0"/>
          <w:sz w:val="24"/>
          <w:szCs w:val="24"/>
          <w:lang w:val="ru-RU"/>
        </w:rPr>
        <w:t xml:space="preserve"> 6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Первичные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и сводные учетные документы, бухгалтерские регистры составляются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"»,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 награждении с указанием перечня награжденных лиц. Если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награждение прошло в ходе проведения массового мероприятия, к Акту (ф.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0504230)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должны быть приложены экземпляр приказа руководителя о проведении мероприятия 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протокол о мероприятии с указанием перечня награжденных лиц.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 При поступлении имущества и наличных денег от жертвователя или дарителя составляется а</w:t>
      </w:r>
      <w:proofErr w:type="gram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кт в пр</w:t>
      </w:r>
      <w:proofErr w:type="gram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оизвольной форме, в котором должны быть:</w:t>
      </w:r>
    </w:p>
    <w:p w:rsidR="007C3EA2" w:rsidRPr="002936F0" w:rsidRDefault="00342F6D" w:rsidP="00787C0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 пунктом 25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отчетности»;</w:t>
      </w:r>
    </w:p>
    <w:p w:rsidR="007C3EA2" w:rsidRPr="002936F0" w:rsidRDefault="00342F6D" w:rsidP="00787C01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сторон.</w:t>
      </w:r>
      <w:proofErr w:type="gramEnd"/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имущество и наличные деньги поступают без оформления письменного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передающая сторона:</w:t>
      </w:r>
    </w:p>
    <w:p w:rsidR="007C3EA2" w:rsidRPr="002936F0" w:rsidRDefault="00342F6D" w:rsidP="00787C0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7C3EA2" w:rsidRPr="002936F0" w:rsidRDefault="00342F6D" w:rsidP="00787C01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или имущество.</w:t>
      </w:r>
    </w:p>
    <w:p w:rsidR="007C3EA2" w:rsidRPr="002936F0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.4. В Табеле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 графах 20 и 37 отражаются итоговые данные неявок.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41"/>
        <w:gridCol w:w="66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 оплачиваемый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 вакцинацию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 связи с 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7C3EA2" w:rsidTr="00787C01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787C01" w:rsidRDefault="007C3EA2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7C3EA2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.5. Расчеты по заработной плате и другим выплатам оформляются в Расчетной ведомости (ф. 0504402) и Платежной ведомости (ф. 0504403).</w:t>
      </w:r>
    </w:p>
    <w:p w:rsidR="00F51764" w:rsidRPr="00D01964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51764">
        <w:rPr>
          <w:rFonts w:hAnsi="Times New Roman" w:cs="Times New Roman"/>
          <w:color w:val="000000"/>
          <w:sz w:val="24"/>
          <w:szCs w:val="24"/>
          <w:lang w:val="ru-RU"/>
        </w:rPr>
        <w:t>.6 Утвержден расчетный листок, ц</w:t>
      </w:r>
      <w:r w:rsidR="00F51764" w:rsidRPr="00F51764">
        <w:rPr>
          <w:rFonts w:hAnsi="Times New Roman" w:cs="Times New Roman"/>
          <w:color w:val="000000"/>
          <w:sz w:val="24"/>
          <w:szCs w:val="24"/>
          <w:lang w:val="ru-RU"/>
        </w:rPr>
        <w:t>ель выдачи расчетного листка - необходимость проинформировать работника, из чего складывается его заработная плата.</w:t>
      </w:r>
      <w:r w:rsidR="00F517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1764" w:rsidRPr="00D01964">
        <w:rPr>
          <w:rFonts w:hAnsi="Times New Roman" w:cs="Times New Roman"/>
          <w:sz w:val="24"/>
          <w:szCs w:val="24"/>
          <w:lang w:val="ru-RU"/>
        </w:rPr>
        <w:t>Приложение №7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D01964" w:rsidRDefault="00D01964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.7. В Табеле учета посещаемости детей (ф. 0504608) регистрируются дни посещения ребенком учреждения буквенным обозначением «Я». </w:t>
      </w:r>
      <w:r w:rsidR="00342F6D" w:rsidRPr="00D01964">
        <w:rPr>
          <w:rFonts w:hAnsi="Times New Roman" w:cs="Times New Roman"/>
          <w:color w:val="000000"/>
          <w:sz w:val="24"/>
          <w:szCs w:val="24"/>
          <w:lang w:val="ru-RU"/>
        </w:rPr>
        <w:t>Дни непосещения отмечаются следующими кодами: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27"/>
        <w:gridCol w:w="566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Неявка без уважительной 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НЯ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Неявка по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НБ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Неявка по семейным обстоятельствам по заявлению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НС</w:t>
            </w:r>
          </w:p>
        </w:tc>
      </w:tr>
      <w:tr w:rsidR="007C3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9A0D97" w:rsidRDefault="007C3EA2" w:rsidP="00787C01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приложение №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 приказу № 52н.</w:t>
      </w:r>
    </w:p>
    <w:p w:rsidR="007C3EA2" w:rsidRPr="002936F0" w:rsidRDefault="009A0D97" w:rsidP="00787C01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ведется с использованием Рабочего плана счетов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01964">
        <w:rPr>
          <w:rFonts w:hAnsi="Times New Roman" w:cs="Times New Roman"/>
          <w:sz w:val="24"/>
          <w:szCs w:val="24"/>
          <w:lang w:val="ru-RU"/>
        </w:rPr>
        <w:t>),</w:t>
      </w:r>
      <w:r w:rsidRPr="009A0D97">
        <w:rPr>
          <w:rFonts w:hAnsi="Times New Roman" w:cs="Times New Roman"/>
          <w:color w:val="0070C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«Концептуальные основы бухучета и отчетности», подпункт «б» пункта 9 СГС «Учетная политика, оценочные значения и ошибки».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отражении в бухучете хозяйственных операций 1–18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образом:</w:t>
      </w:r>
      <w:r w:rsidRPr="002936F0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0"/>
        <w:gridCol w:w="7736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 w:rsidRPr="00D01964" w:rsidTr="00787C01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7C3EA2" w:rsidRPr="002936F0" w:rsidRDefault="00A90B39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0702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7C3EA2" w:rsidRPr="002936F0" w:rsidRDefault="00342F6D" w:rsidP="00787C01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7C3EA2" w:rsidRPr="002936F0" w:rsidRDefault="00342F6D" w:rsidP="00787C01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7C3EA2" w:rsidRDefault="00342F6D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7C3EA2" w:rsidRPr="00DF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7C3EA2" w:rsidRPr="002936F0" w:rsidRDefault="00342F6D" w:rsidP="00787C01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7C3EA2" w:rsidRDefault="00342F6D" w:rsidP="00787C01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 w:rsidP="00787C01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7C3EA2" w:rsidRPr="00DF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 w:rsidP="00787C0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</w:t>
            </w:r>
          </w:p>
          <w:p w:rsidR="007C3EA2" w:rsidRPr="002936F0" w:rsidRDefault="00342F6D" w:rsidP="00787C01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7C3EA2" w:rsidRDefault="00342F6D" w:rsidP="00787C01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 w:rsidP="00787C01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7C3EA2" w:rsidRDefault="00342F6D" w:rsidP="00787C01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 w:rsidP="00787C01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– субсидии на цели осуществления </w:t>
            </w:r>
            <w:proofErr w:type="gramStart"/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вложения</w:t>
            </w:r>
          </w:p>
        </w:tc>
      </w:tr>
      <w:tr w:rsidR="007C3EA2" w:rsidRPr="00DF51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пункты 21–21.2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пункт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Инструкции № 174н.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Рабочем плане счетов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 w:rsidR="00EB214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B214F" w:rsidRPr="00EB214F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7C3EA2" w:rsidRPr="002936F0" w:rsidRDefault="009A0D97" w:rsidP="00787C01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="00342F6D">
        <w:rPr>
          <w:b/>
          <w:bCs/>
          <w:color w:val="252525"/>
          <w:spacing w:val="-2"/>
          <w:sz w:val="48"/>
          <w:szCs w:val="48"/>
        </w:rPr>
        <w:t>V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1.1. Бухучет ведется по первичным документам, которые проверены сотрудниками бухгалтерии в соответствии с положением о внутреннем финансовом контроле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EB214F" w:rsidRPr="00D01964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  <w:r w:rsidRPr="00D01964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1.4.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0504101), Приходный ордер на приемку материальных ценностей (нефинансовых активов) (ф. 0504207) в этом случае не требуется.</w:t>
      </w:r>
    </w:p>
    <w:p w:rsidR="007C3EA2" w:rsidRPr="002936F0" w:rsidRDefault="007C3EA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8E70CC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8E70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7C3EA2" w:rsidRDefault="00342F6D" w:rsidP="00787C01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3EA2" w:rsidRPr="002936F0" w:rsidRDefault="00342F6D" w:rsidP="00787C01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 блоки, мониторы, компьютерные мыши, клавиатуры, принтеры, сканеры, колонки, акустические системы, микрофоны, веб-камеры,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захвата видео, внешние ТВ-тюнеры, внешние накопители на жестких дисках;</w:t>
      </w:r>
      <w:proofErr w:type="gramEnd"/>
    </w:p>
    <w:p w:rsidR="007C3EA2" w:rsidRPr="002936F0" w:rsidRDefault="00342F6D" w:rsidP="00787C01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спортивный инвентарь одного наименования в одном помещении;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2.3. Уникальный инвентарный номер состоит из </w:t>
      </w:r>
      <w:r w:rsidR="008E70C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знаков и 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tbl>
      <w:tblPr>
        <w:tblStyle w:val="a5"/>
        <w:tblW w:w="0" w:type="auto"/>
        <w:tblLook w:val="04A0"/>
      </w:tblPr>
      <w:tblGrid>
        <w:gridCol w:w="1926"/>
        <w:gridCol w:w="390"/>
        <w:gridCol w:w="630"/>
        <w:gridCol w:w="872"/>
        <w:gridCol w:w="720"/>
        <w:gridCol w:w="1113"/>
        <w:gridCol w:w="765"/>
        <w:gridCol w:w="1302"/>
        <w:gridCol w:w="390"/>
        <w:gridCol w:w="510"/>
        <w:gridCol w:w="435"/>
        <w:gridCol w:w="390"/>
      </w:tblGrid>
      <w:tr w:rsidR="008E70CC" w:rsidTr="008E70CC">
        <w:tc>
          <w:tcPr>
            <w:tcW w:w="1926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Х</w:t>
            </w:r>
          </w:p>
        </w:tc>
        <w:tc>
          <w:tcPr>
            <w:tcW w:w="336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630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872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20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113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65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302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30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510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435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04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8E70CC" w:rsidRPr="00DF518A" w:rsidTr="008E70CC">
        <w:tc>
          <w:tcPr>
            <w:tcW w:w="1926" w:type="dxa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источника финансирования</w:t>
            </w:r>
          </w:p>
        </w:tc>
        <w:tc>
          <w:tcPr>
            <w:tcW w:w="1838" w:type="dxa"/>
            <w:gridSpan w:val="3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синтетического счета</w:t>
            </w:r>
          </w:p>
        </w:tc>
        <w:tc>
          <w:tcPr>
            <w:tcW w:w="1833" w:type="dxa"/>
            <w:gridSpan w:val="2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аналитического счета</w:t>
            </w:r>
          </w:p>
        </w:tc>
        <w:tc>
          <w:tcPr>
            <w:tcW w:w="2067" w:type="dxa"/>
            <w:gridSpan w:val="2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Амортизационная группа</w:t>
            </w:r>
          </w:p>
        </w:tc>
        <w:tc>
          <w:tcPr>
            <w:tcW w:w="1579" w:type="dxa"/>
            <w:gridSpan w:val="4"/>
          </w:tcPr>
          <w:p w:rsidR="008E70CC" w:rsidRDefault="008E70CC" w:rsidP="00787C01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Порядковый номер объекта в группе</w:t>
            </w:r>
          </w:p>
        </w:tc>
      </w:tr>
    </w:tbl>
    <w:p w:rsidR="008E70CC" w:rsidRPr="002936F0" w:rsidRDefault="008E70CC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наносится:</w:t>
      </w:r>
    </w:p>
    <w:p w:rsidR="007C3EA2" w:rsidRPr="002936F0" w:rsidRDefault="00342F6D" w:rsidP="00787C0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объекты недвижимого имущества, строения и сооружения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несмываемой краской;</w:t>
      </w:r>
    </w:p>
    <w:p w:rsidR="007C3EA2" w:rsidRPr="002936F0" w:rsidRDefault="00342F6D" w:rsidP="00787C0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 – путем прикрепления водостойкой инвентаризационной наклейки с номером;</w:t>
      </w:r>
    </w:p>
    <w:p w:rsidR="007C3EA2" w:rsidRPr="002936F0" w:rsidRDefault="00342F6D" w:rsidP="00787C01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оборудование, на которые невозможно прикрепить наклейки, – мобильным лазером.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 на сложном объекте.</w:t>
      </w:r>
    </w:p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C3EA2" w:rsidRDefault="00342F6D" w:rsidP="00787C0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C3EA2" w:rsidRDefault="00342F6D" w:rsidP="00787C0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C3EA2" w:rsidRDefault="00342F6D" w:rsidP="00787C0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7C3EA2" w:rsidRDefault="00342F6D" w:rsidP="00787C01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 насаждения;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C3EA2" w:rsidRDefault="00342F6D" w:rsidP="00787C0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7C3EA2" w:rsidRDefault="00342F6D" w:rsidP="00787C0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7C3EA2" w:rsidRDefault="00342F6D" w:rsidP="00787C0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7C3EA2" w:rsidRPr="002936F0" w:rsidRDefault="00342F6D" w:rsidP="00787C01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C3EA2" w:rsidRDefault="00342F6D" w:rsidP="00787C0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C3EA2" w:rsidRDefault="00342F6D" w:rsidP="00787C01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7C3EA2" w:rsidRPr="002936F0" w:rsidRDefault="00342F6D" w:rsidP="00787C01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2.9. В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переоценки пересчитывается пропорционально изменению первоначальной стоимости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объекта таким образом, чтобы его остаточная стоимость после переоценки равнялась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переоцененной стоимости. При этом балансовая стоимость и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накопленная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амортизация увеличиваются (умножаются) на одинаковый коэффициент таким образом,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переоценки.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C15A2A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в соответствии с пунктом 35 СГС «Основные средства».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C3EA2" w:rsidRPr="002936F0" w:rsidRDefault="00C15A2A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B214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B214F" w:rsidRPr="00D0196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21по балансовой стоимости.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 счетов № 157н.</w:t>
      </w:r>
    </w:p>
    <w:p w:rsidR="007C3EA2" w:rsidRPr="002936F0" w:rsidRDefault="00EB214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 разным видам деятельности, сумма вложений, сформированных на счете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7C3EA2" w:rsidRPr="002936F0" w:rsidRDefault="00EB214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 кода вида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деятельности «2» на код вида деятельности «4». Одновременно переводится сумма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амортизации.</w:t>
      </w:r>
    </w:p>
    <w:p w:rsidR="007C3EA2" w:rsidRPr="002936F0" w:rsidRDefault="00EB214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Ответственными за хранение технической документации на объекты основных средств являются ответственные лица, за которыми они закреплены. Если на основное средство производитель (поставщик) предусмотрел гарантийный срок, ответственное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лицо хранит также гарантийные талоны.</w:t>
      </w:r>
    </w:p>
    <w:p w:rsidR="007C3EA2" w:rsidRPr="002936F0" w:rsidRDefault="00EB214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Объекты библиотечного фонда стоимостью до 100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учитываются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регистрах бухучета в денежном выражении общей суммой без количественного учета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разрезе кодов финансового обеспечения:</w:t>
      </w:r>
    </w:p>
    <w:p w:rsidR="007C3EA2" w:rsidRPr="002936F0" w:rsidRDefault="00342F6D" w:rsidP="00787C01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7C3EA2" w:rsidRPr="002936F0" w:rsidRDefault="00342F6D" w:rsidP="00787C01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 – субсидия на выполнение государственного задания;</w:t>
      </w:r>
    </w:p>
    <w:p w:rsidR="007C3EA2" w:rsidRPr="00D01964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каждый объект библиотечного фонда стоимостью свыше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открывается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отдельная Инвентарная карточка учета основных средств (ф. 0504031).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суммового учета ведется сотрудниками библиотеки в соответствии с Порядком,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приказом Минкультуры от 08.10.2012 № 1077.</w:t>
      </w:r>
    </w:p>
    <w:p w:rsidR="00EB214F" w:rsidRPr="00EB214F" w:rsidRDefault="00EB214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1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.17. Установлен порядок списания основных средств, находящихся в муниципальной собственности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Pr="00EB214F">
        <w:rPr>
          <w:rFonts w:hAnsi="Times New Roman" w:cs="Times New Roman"/>
          <w:color w:val="0070C0"/>
          <w:sz w:val="24"/>
          <w:szCs w:val="24"/>
          <w:lang w:val="ru-RU"/>
        </w:rPr>
        <w:t>приложения</w:t>
      </w:r>
      <w:proofErr w:type="gramEnd"/>
      <w:r w:rsidRPr="00EB214F">
        <w:rPr>
          <w:rFonts w:hAnsi="Times New Roman" w:cs="Times New Roman"/>
          <w:color w:val="0070C0"/>
          <w:sz w:val="24"/>
          <w:szCs w:val="24"/>
          <w:lang w:val="ru-RU"/>
        </w:rPr>
        <w:t xml:space="preserve"> №10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7C3EA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57BB8" w:rsidRPr="00257BB8" w:rsidRDefault="00EB214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57BB8"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. Неисключительные права на НМА со сроком использования более 12 месяцев учитывать на счете 111.60 «Права пользования нематериальными активами». Стоимость прав со сроком службы более 12 месяцев списывать через амортизацию – счет 104.61 «Амортизация прав пользования нематериальными активами». Для этого комиссия по поступлению и выбытию активов должна определить срок использования прав. </w:t>
      </w:r>
    </w:p>
    <w:p w:rsidR="00257BB8" w:rsidRPr="00257BB8" w:rsidRDefault="00257BB8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новые коды КОСГУ в 24–26-х разрядах счета – 111.61, 104.61. Коды 352 и 353 использовать, когда принимать  права к учету. Коды 452 и 453 – когда права выбывают, начислять амортизацию. </w:t>
      </w:r>
    </w:p>
    <w:p w:rsidR="00257BB8" w:rsidRPr="00257BB8" w:rsidRDefault="00257BB8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Выбор кода зависит от срока использования права:</w:t>
      </w:r>
    </w:p>
    <w:p w:rsidR="00257BB8" w:rsidRPr="00257BB8" w:rsidRDefault="00257BB8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352 и 452 – для прав с определенным сроком использования;</w:t>
      </w:r>
    </w:p>
    <w:p w:rsidR="00257BB8" w:rsidRPr="00257BB8" w:rsidRDefault="00257BB8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353 и 453 – для прав с неопределенным сроком использования.</w:t>
      </w:r>
    </w:p>
    <w:p w:rsidR="00257BB8" w:rsidRPr="00257BB8" w:rsidRDefault="00257BB8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4.111.6I.352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4.302.26.734</w:t>
      </w:r>
    </w:p>
    <w:p w:rsidR="00257BB8" w:rsidRPr="00257BB8" w:rsidRDefault="00257BB8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Начисляется амортизация ежемесячно в течение срока действия договора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4.401.20.226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4.104.6I.452</w:t>
      </w:r>
    </w:p>
    <w:p w:rsidR="00257BB8" w:rsidRDefault="00257BB8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2. Если срок – 12 месяцев и менее, затраты списывать  на текущие расходы. Ввести дополнительный </w:t>
      </w:r>
      <w:proofErr w:type="spell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забалансовый</w:t>
      </w:r>
      <w:proofErr w:type="spell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счет. Закрепить: «Неисключительные права пользования на результаты интеллектуальной деятельности со сроком службы 12 месяцев и менее учитывать на </w:t>
      </w:r>
      <w:proofErr w:type="spell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46НП „Неисключительные права пользования </w:t>
      </w:r>
      <w:proofErr w:type="gram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РИД“. Учет вести по стоимости прав пользования на нематериальные активы». </w:t>
      </w:r>
    </w:p>
    <w:p w:rsidR="00EB214F" w:rsidRDefault="00EB214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214F" w:rsidRDefault="00EB214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7"/>
        <w:gridCol w:w="2335"/>
        <w:gridCol w:w="2150"/>
        <w:gridCol w:w="1444"/>
      </w:tblGrid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Списаны расходы на покупку информационной системы после получения доступа к базе данных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Х.109.60.226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Х.302.26.734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Учтена информационная система за балансом</w:t>
            </w:r>
          </w:p>
        </w:tc>
        <w:tc>
          <w:tcPr>
            <w:tcW w:w="2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</w:t>
            </w:r>
            <w:proofErr w:type="spellStart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счета 46НП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закрытии доступа к информационной системе – по окончании срока договора</w:t>
            </w:r>
          </w:p>
        </w:tc>
        <w:tc>
          <w:tcPr>
            <w:tcW w:w="2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Уменьшение </w:t>
            </w:r>
            <w:proofErr w:type="spellStart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счета 46НП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787C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7C3EA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 СГС «Непроизведенные активы»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 СГС «Непроизведенные активы»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В составе материальных запасов учитываются предметы, используемые в деятельности учреждения в течение периода, не превышающего 12 месяцев, не зависимо от их стоимости.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Оценка материальных запасов, приобретенных за плату, осуществляется по фактической стоимости приобретения с учетом всех произведенных расходов. Если прочие расходы связаны с приобретением различного вида материальных запасов, то данные расходы распределяются пропорционально стоимости видов материалов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Списание (отпуск) материальных запасов на расходы (в производство, на содержание учреждения и т.п.) производится: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по средней себестоимости.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Аналитический учет материальных запасов ведется </w:t>
      </w:r>
      <w:proofErr w:type="gramStart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наименованиям;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источникам финансирования;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материально-ответственным лицам.</w:t>
      </w:r>
    </w:p>
    <w:p w:rsidR="005E4A46" w:rsidRPr="005E4A46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наличием договоров о полной материальной ответственности  на всех материально-ответственных лиц учреждения возлагается </w:t>
      </w:r>
      <w:proofErr w:type="gramStart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3EA2" w:rsidRPr="002936F0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Бухгалтерию.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50"/>
        <w:gridCol w:w="156"/>
      </w:tblGrid>
      <w:tr w:rsidR="007C3EA2" w:rsidRPr="00DF51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A46" w:rsidRPr="005E4A46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5.5.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составе прямых расходов учитываются: </w:t>
            </w:r>
          </w:p>
          <w:p w:rsidR="005E4A46" w:rsidRPr="005E4A46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материальные запасы, израсходованные в процессе оказания услуг, выполнения работ;</w:t>
            </w:r>
          </w:p>
          <w:p w:rsidR="005E4A46" w:rsidRPr="005E4A46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расчеты по принятым обязательствам, расчеты с подотчетными лицами.</w:t>
            </w:r>
          </w:p>
          <w:p w:rsidR="005E4A46" w:rsidRPr="005E4A46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расходы на оплату труда участвующего в процессе оказания услуг (выполнения работ, производства товаров) персонала и начисление страховых взносов на оплату труда персонала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озможен список должностей по видам деятельности); </w:t>
            </w:r>
          </w:p>
          <w:p w:rsidR="005E4A46" w:rsidRPr="005E4A46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составе накладных расходов учитываются:</w:t>
            </w:r>
          </w:p>
          <w:p w:rsidR="005E4A46" w:rsidRPr="005E4A46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заработная плата работников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обслуживающих оборудование, и страховые взносы;</w:t>
            </w:r>
          </w:p>
          <w:p w:rsidR="005E4A46" w:rsidRPr="005E4A46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расходы на электроэнергию, топливо и другие материалы;</w:t>
            </w:r>
          </w:p>
          <w:p w:rsidR="005E4A46" w:rsidRPr="005E4A46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 конце месяца накладные  расходы относятся на себестоимость (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соответствующие субсчета).</w:t>
            </w:r>
          </w:p>
          <w:p w:rsidR="007C3EA2" w:rsidRPr="00F26749" w:rsidRDefault="005E4A46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5.8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Списание фактической себестоимости выполненных работ, оказанных услуг на уменьшение финансового результата производить по окончанию финансового года.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F26749" w:rsidRDefault="007C3EA2" w:rsidP="00787C0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5E4A4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следующих факторов:</w:t>
      </w:r>
    </w:p>
    <w:p w:rsidR="007C3EA2" w:rsidRPr="002936F0" w:rsidRDefault="00342F6D" w:rsidP="00787C01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 рассчитанной методом рыночных цен;</w:t>
      </w:r>
    </w:p>
    <w:p w:rsidR="007C3EA2" w:rsidRPr="002936F0" w:rsidRDefault="00342F6D" w:rsidP="00787C01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 части учета материальных запасов: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 Маски и перчатки, приобретенные для комплектов одежды, учитываются на счете</w:t>
      </w:r>
      <w:r w:rsidR="00EB450F">
        <w:rPr>
          <w:rFonts w:hAnsi="Times New Roman" w:cs="Times New Roman"/>
          <w:color w:val="000000"/>
          <w:sz w:val="24"/>
          <w:szCs w:val="24"/>
          <w:lang w:val="ru-RU"/>
        </w:rPr>
        <w:t xml:space="preserve"> 105.3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 и по КОСГУ 345.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5.8.2. Специальные жидкости для автомобиля (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, тосол и другие охлаждающие) учитываются на счете</w:t>
      </w:r>
      <w:r w:rsidR="00EB450F">
        <w:rPr>
          <w:rFonts w:hAnsi="Times New Roman" w:cs="Times New Roman"/>
          <w:color w:val="000000"/>
          <w:sz w:val="24"/>
          <w:szCs w:val="24"/>
          <w:lang w:val="ru-RU"/>
        </w:rPr>
        <w:t xml:space="preserve"> 105.3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и по КОСГУ 343.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5.9.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приобретения и учета горюче-смазочных материалов (ГСМ).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 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Нормы на расходы горюче-смазочных материалов (ГСМ) разрабатываются специализированной организацией и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  <w:proofErr w:type="gramEnd"/>
    </w:p>
    <w:p w:rsidR="007C3EA2" w:rsidRPr="002936F0" w:rsidRDefault="00342F6D" w:rsidP="00787C0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 — четыре единицы на один легковой автомобиль;</w:t>
      </w:r>
    </w:p>
    <w:p w:rsidR="007C3EA2" w:rsidRPr="002936F0" w:rsidRDefault="00342F6D" w:rsidP="00787C0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 четыре единицы на один легковой автомобиль;</w:t>
      </w:r>
    </w:p>
    <w:p w:rsidR="007C3EA2" w:rsidRPr="002936F0" w:rsidRDefault="00342F6D" w:rsidP="00787C0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аккумуляторы — одна единица на один автомобиль;</w:t>
      </w:r>
    </w:p>
    <w:p w:rsidR="007C3EA2" w:rsidRPr="002936F0" w:rsidRDefault="00342F6D" w:rsidP="00787C0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— одна единица на один автомобиль;</w:t>
      </w:r>
    </w:p>
    <w:p w:rsidR="007C3EA2" w:rsidRPr="002936F0" w:rsidRDefault="00342F6D" w:rsidP="00787C0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аптечки — одна единица на один автомобиль;</w:t>
      </w:r>
    </w:p>
    <w:p w:rsidR="007C3EA2" w:rsidRPr="002936F0" w:rsidRDefault="00342F6D" w:rsidP="00787C0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огнетушители—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единица на один автомобиль;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 акте о сезонной замене шин в автомобиле, форма которого разработана учреждением самостоятельно.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7C3EA2" w:rsidRPr="002936F0" w:rsidRDefault="00342F6D" w:rsidP="00787C0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 счета 0.105.36.000 «Прочие материальные запасы — иное движимое имущество учреждения»;</w:t>
      </w:r>
    </w:p>
    <w:p w:rsidR="007C3EA2" w:rsidRPr="002936F0" w:rsidRDefault="00342F6D" w:rsidP="00787C01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7C3EA2" w:rsidRPr="002936F0" w:rsidRDefault="00342F6D" w:rsidP="00787C01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7C3EA2" w:rsidRPr="002936F0" w:rsidRDefault="00342F6D" w:rsidP="00787C01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7C3EA2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7C3EA2" w:rsidRPr="002936F0" w:rsidRDefault="00342F6D" w:rsidP="00787C01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7C3EA2" w:rsidRPr="002936F0" w:rsidRDefault="00342F6D" w:rsidP="00787C01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 157н.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5.12. Особенности списания материальных запасов: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5.12.1. Списание материальных запасов производится по средней фактической стоимости.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5.12.2.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5.12.3.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7C3EA2" w:rsidRDefault="00342F6D" w:rsidP="00787C0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0340002, 0345001, 0345002, 0345004, 0345005, 0345007);</w:t>
      </w:r>
    </w:p>
    <w:p w:rsidR="007C3EA2" w:rsidRPr="002936F0" w:rsidRDefault="00342F6D" w:rsidP="00787C0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материальных запасов (ф. 0504230);</w:t>
      </w:r>
    </w:p>
    <w:p w:rsidR="007C3EA2" w:rsidRPr="002936F0" w:rsidRDefault="00342F6D" w:rsidP="00787C01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мягкого и хозяйственного инвентаря (ф. 0504143).</w:t>
      </w:r>
    </w:p>
    <w:p w:rsidR="007C3EA2" w:rsidRPr="002936F0" w:rsidRDefault="003E37A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5.12.4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Материальные запасы, которые предназначены для дарения, вручения на мероприятиях, списываются с учета при выдаче со склада на основании Ведомости выдачи материальных ценностей на нужды учреждения (ф. 0504210). После выдачи со склада запасы учитываются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 «Награды, призы, кубки и ценные подарки, сувениры».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 акте</w:t>
      </w:r>
      <w:r w:rsidR="003E37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6.1. Данные о справедливой стоимости безвозмездно полученных нефинансовых активов должны подтверждаться:</w:t>
      </w:r>
    </w:p>
    <w:p w:rsidR="007C3EA2" w:rsidRPr="002936F0" w:rsidRDefault="00342F6D" w:rsidP="00787C0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7C3EA2" w:rsidRDefault="00342F6D" w:rsidP="00787C0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3EA2" w:rsidRPr="002936F0" w:rsidRDefault="00342F6D" w:rsidP="00787C01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7C3EA2" w:rsidRPr="002936F0" w:rsidRDefault="00342F6D" w:rsidP="00787C01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7C3EA2" w:rsidRPr="002936F0" w:rsidRDefault="00A9129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подотчетными лицами</w:t>
      </w:r>
    </w:p>
    <w:p w:rsidR="007C3EA2" w:rsidRPr="00A9129F" w:rsidRDefault="00A9129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выдаются под отчет на основании приказа руководителя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или служебной записки, согласованной с руководителем. </w:t>
      </w:r>
      <w:r w:rsidR="00342F6D" w:rsidRPr="00A9129F">
        <w:rPr>
          <w:rFonts w:hAnsi="Times New Roman" w:cs="Times New Roman"/>
          <w:color w:val="000000"/>
          <w:sz w:val="24"/>
          <w:szCs w:val="24"/>
          <w:lang w:val="ru-RU"/>
        </w:rPr>
        <w:t>Выдача денежных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A9129F">
        <w:rPr>
          <w:rFonts w:hAnsi="Times New Roman" w:cs="Times New Roman"/>
          <w:color w:val="000000"/>
          <w:sz w:val="24"/>
          <w:szCs w:val="24"/>
          <w:lang w:val="ru-RU"/>
        </w:rPr>
        <w:t>средств под отчет производится путем:</w:t>
      </w:r>
    </w:p>
    <w:p w:rsidR="007C3EA2" w:rsidRPr="002936F0" w:rsidRDefault="00342F6D" w:rsidP="00787C01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руководителя.</w:t>
      </w:r>
    </w:p>
    <w:p w:rsidR="007C3EA2" w:rsidRPr="002936F0" w:rsidRDefault="00A9129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Учреждение выдает денежные средства под отчет штатным сотрудникам, а также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лицам, которые не состоят в штате, на основании отдельного приказа руководителя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учреждения. Расчеты по выданным суммам проходят в порядке, установленном для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штатных сотрудников.</w:t>
      </w:r>
    </w:p>
    <w:p w:rsidR="007C3EA2" w:rsidRPr="002936F0" w:rsidRDefault="00A9129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Предельная сумма выдачи денежных средств под отчет на хозяйственные расходы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Центрального банка.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7C3EA2" w:rsidRPr="002936F0" w:rsidRDefault="00A9129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7C3EA2" w:rsidRPr="002936F0" w:rsidRDefault="00A9129F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направлении сотрудников учреждения в служебные командировки на территории России расходы на них возмещаются в размере, установленном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 служебных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B730AA">
        <w:rPr>
          <w:rFonts w:hAnsi="Times New Roman" w:cs="Times New Roman"/>
          <w:sz w:val="24"/>
          <w:szCs w:val="24"/>
          <w:lang w:val="ru-RU"/>
        </w:rPr>
        <w:t>командировок (приложение</w:t>
      </w:r>
      <w:r w:rsidRPr="00B730AA">
        <w:rPr>
          <w:rFonts w:hAnsi="Times New Roman" w:cs="Times New Roman"/>
          <w:sz w:val="24"/>
          <w:szCs w:val="24"/>
          <w:lang w:val="ru-RU"/>
        </w:rPr>
        <w:t xml:space="preserve"> 11</w:t>
      </w:r>
      <w:r w:rsidR="00342F6D" w:rsidRPr="00B730AA">
        <w:rPr>
          <w:rFonts w:hAnsi="Times New Roman" w:cs="Times New Roman"/>
          <w:sz w:val="24"/>
          <w:szCs w:val="24"/>
          <w:lang w:val="ru-RU"/>
        </w:rPr>
        <w:t xml:space="preserve">).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служебные командировки, превышающих размер,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производится по фактическим расходам за счет средств от деятельности, приносящей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доход, с разрешения руководителя учреждения (оформленного приказом).</w:t>
      </w:r>
    </w:p>
    <w:p w:rsidR="007C3EA2" w:rsidRPr="002936F0" w:rsidRDefault="006F7F93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.6. При направлении в командировку на соревнования, олимпиады и другие мероприятия ответственному сотруднику (преподавателю) дополнительно выдаются денежные средства на проезд, питание и проживание учеников, а также суточные ученикам. Основание для выдачи денежных средств – приказ руководителя учреждения с перечнем выезжающих учеников и назначением ответственного сотрудника.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самостоятельно приобретает билеты на проезд ученикам и оплачивает их проживание и питание. Отчет об израсходованных суммах сотрудник представляет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 о расходах подотчетного лица (ф. 0504520) по общим правилам, установленным в </w:t>
      </w:r>
      <w:r w:rsidR="006F7F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служебных командировок </w:t>
      </w:r>
      <w:r w:rsidRPr="006F7F93">
        <w:rPr>
          <w:rFonts w:hAnsi="Times New Roman" w:cs="Times New Roman"/>
          <w:color w:val="0070C0"/>
          <w:sz w:val="24"/>
          <w:szCs w:val="24"/>
          <w:lang w:val="ru-RU"/>
        </w:rPr>
        <w:t>(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приложение</w:t>
      </w:r>
      <w:r w:rsidR="00A9129F" w:rsidRPr="00D01964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выдает суточные ученикам по самостоятельно разработанной учреждением ведомости, которая также прикладывается к Отчету о расходах подотчетного лица (ф. 0504520).</w:t>
      </w:r>
    </w:p>
    <w:p w:rsidR="007C3EA2" w:rsidRPr="002936F0" w:rsidRDefault="006F7F93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.7. Предельные сроки отчета по выданным доверенностям на получение материальных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7C3EA2" w:rsidRPr="002936F0" w:rsidRDefault="006F7F93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.8. Авансовые отчеты брошюруются в хронологическом порядке в последний день отчетного месяца.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дебиторами и кредиторами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6F7F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Расчеты по обязательствам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К счету 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Х.303.05.000 «Расчеты по прочим платежам в бюджет» применяются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аналитические коды:</w:t>
      </w:r>
    </w:p>
    <w:p w:rsidR="007C3EA2" w:rsidRDefault="00342F6D" w:rsidP="00787C0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F7F93">
        <w:rPr>
          <w:rFonts w:hAnsi="Times New Roman" w:cs="Times New Roman"/>
          <w:color w:val="000000"/>
          <w:sz w:val="24"/>
          <w:szCs w:val="24"/>
          <w:lang w:val="ru-RU"/>
        </w:rPr>
        <w:t>1 – «</w:t>
      </w:r>
      <w:proofErr w:type="spellStart"/>
      <w:r w:rsidRPr="006F7F93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>
        <w:rPr>
          <w:rFonts w:hAnsi="Times New Roman" w:cs="Times New Roman"/>
          <w:color w:val="000000"/>
          <w:sz w:val="24"/>
          <w:szCs w:val="24"/>
        </w:rPr>
        <w:t>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 Х.303.15.000);</w:t>
      </w:r>
    </w:p>
    <w:p w:rsidR="007C3EA2" w:rsidRDefault="00342F6D" w:rsidP="00787C0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«Транспортный налог» (КБК Х.303.25.000);</w:t>
      </w:r>
    </w:p>
    <w:p w:rsidR="007C3EA2" w:rsidRPr="002936F0" w:rsidRDefault="00342F6D" w:rsidP="00787C0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Х.303.35.000);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Аналитический учет расчетов по пособиям и иным социальным выплатам ведется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 – получателей социальных выплат.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 Аналитический учет расчетов по оплате труда ведется в разрезе сотрудников и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 которыми заключены гражданско-правовые договоры.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активов признает ее сомнительной или безнадежной 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взысканию в порядке, утвержденном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положением о признании дебиторской задолженности сомнительной и безнадежной к взысканию.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7C3EA2" w:rsidRPr="002936F0" w:rsidRDefault="00CB45C5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на основании инвентаризационной комиссии о признании задолженности, не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востребованной кредиторами.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4A3E7E" w:rsidRPr="00D01964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11</w:t>
      </w:r>
      <w:r w:rsidR="004A3E7E" w:rsidRPr="004A3E7E">
        <w:rPr>
          <w:rFonts w:hAnsi="Times New Roman" w:cs="Times New Roman"/>
          <w:b/>
          <w:sz w:val="24"/>
          <w:szCs w:val="24"/>
          <w:lang w:val="ru-RU"/>
        </w:rPr>
        <w:t>. Положение об инвентаризации</w:t>
      </w:r>
      <w:r w:rsidR="004A3E7E">
        <w:rPr>
          <w:rFonts w:hAnsi="Times New Roman" w:cs="Times New Roman"/>
          <w:b/>
          <w:sz w:val="24"/>
          <w:szCs w:val="24"/>
          <w:lang w:val="ru-RU"/>
        </w:rPr>
        <w:t>.</w:t>
      </w:r>
      <w:r w:rsidR="004A3E7E" w:rsidRPr="004A3E7E">
        <w:rPr>
          <w:rFonts w:hAnsi="Times New Roman" w:cs="Times New Roman"/>
          <w:sz w:val="24"/>
          <w:szCs w:val="24"/>
          <w:lang w:val="ru-RU"/>
        </w:rPr>
        <w:t xml:space="preserve"> </w:t>
      </w:r>
      <w:r w:rsidR="004A3E7E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sz w:val="24"/>
          <w:szCs w:val="24"/>
          <w:lang w:val="ru-RU"/>
        </w:rPr>
        <w:t>12</w:t>
      </w:r>
    </w:p>
    <w:p w:rsidR="004A3E7E" w:rsidRPr="004A3E7E" w:rsidRDefault="004A3E7E" w:rsidP="00787C01">
      <w:pPr>
        <w:spacing w:before="0" w:beforeAutospacing="0" w:after="0" w:afterAutospacing="0"/>
        <w:jc w:val="both"/>
        <w:rPr>
          <w:rFonts w:hAnsi="Times New Roman" w:cs="Times New Roman"/>
          <w:color w:val="0070C0"/>
          <w:sz w:val="24"/>
          <w:szCs w:val="24"/>
          <w:lang w:val="ru-RU"/>
        </w:rPr>
      </w:pPr>
    </w:p>
    <w:p w:rsidR="007C3EA2" w:rsidRPr="002936F0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7C3EA2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BF7ED6" w:rsidRPr="00BF7ED6" w:rsidRDefault="00BF7ED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Стоимость коммунальных услуг (электроэнергии, тепла, воды, мусора), потребленных арендатором, может возмещаться арендодателю сверх арендной платы на основании  отдельного договора.</w:t>
      </w:r>
    </w:p>
    <w:p w:rsidR="00BF7ED6" w:rsidRPr="00BF7ED6" w:rsidRDefault="00BF7ED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   Доходы по арендным платежам, получаемые в виде возмещения арендатором расходов учреждения на коммунальные платежи, относятся на подстатью 135 "Доходы по условным арендным платежам" КОСГУ (Порядок N 209н).</w:t>
      </w:r>
    </w:p>
    <w:p w:rsidR="00BF7ED6" w:rsidRPr="00BF7ED6" w:rsidRDefault="00BF7ED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Доходы от возмещения коммунальных услуг можно использовать для оплаты коммунальных услуг учреждения.</w:t>
      </w:r>
    </w:p>
    <w:p w:rsidR="00BF7ED6" w:rsidRPr="002936F0" w:rsidRDefault="00BF7ED6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Начисление  потребленных коммунальных услуг  отражать  на счете 2 401 20 223.</w:t>
      </w:r>
    </w:p>
    <w:p w:rsidR="007C3EA2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035082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="00342F6D" w:rsidRPr="002936F0">
        <w:rPr>
          <w:lang w:val="ru-RU"/>
        </w:rPr>
        <w:br/>
      </w:r>
      <w:proofErr w:type="spellStart"/>
      <w:r w:rsidR="00342F6D"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 w:rsidR="00342F6D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42F6D"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 w:rsidR="00342F6D">
        <w:rPr>
          <w:rFonts w:hAnsi="Times New Roman" w:cs="Times New Roman"/>
          <w:color w:val="000000"/>
          <w:sz w:val="24"/>
          <w:szCs w:val="24"/>
        </w:rPr>
        <w:t xml:space="preserve"> 5 СГС «Долгосрочные договоры».</w:t>
      </w:r>
    </w:p>
    <w:p w:rsidR="007C3EA2" w:rsidRDefault="0003508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A90B3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>
        <w:rPr>
          <w:rFonts w:hAnsi="Times New Roman" w:cs="Times New Roman"/>
          <w:color w:val="000000"/>
          <w:sz w:val="24"/>
          <w:szCs w:val="24"/>
        </w:rPr>
        <w:t>. Доходы текущего года начисляются:</w:t>
      </w:r>
    </w:p>
    <w:p w:rsidR="007C3EA2" w:rsidRPr="002936F0" w:rsidRDefault="00342F6D" w:rsidP="00787C0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оказания платных услуг (кроме услуг общих образовательных программ), работ;</w:t>
      </w:r>
    </w:p>
    <w:p w:rsidR="007C3EA2" w:rsidRPr="002936F0" w:rsidRDefault="00342F6D" w:rsidP="00787C0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7C3EA2" w:rsidRPr="002936F0" w:rsidRDefault="00342F6D" w:rsidP="00787C0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 об уплате пени, штрафа, неустойки;</w:t>
      </w:r>
    </w:p>
    <w:p w:rsidR="007C3EA2" w:rsidRPr="002936F0" w:rsidRDefault="00342F6D" w:rsidP="00787C0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 основании ведомости расхождений по результатам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7C3EA2" w:rsidRPr="002936F0" w:rsidRDefault="00342F6D" w:rsidP="00787C0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 имущества;</w:t>
      </w:r>
    </w:p>
    <w:p w:rsidR="007C3EA2" w:rsidRPr="002936F0" w:rsidRDefault="00342F6D" w:rsidP="00787C01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заключался;</w:t>
      </w:r>
    </w:p>
    <w:p w:rsidR="007C3EA2" w:rsidRPr="002936F0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CB45C5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В составе расходов будущих периодов на счете 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будущих периодов» отражаются расходы:</w:t>
      </w:r>
    </w:p>
    <w:p w:rsidR="007C3EA2" w:rsidRPr="002936F0" w:rsidRDefault="00342F6D" w:rsidP="00787C0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 страхованию имущества, гражданской ответственности;</w:t>
      </w:r>
    </w:p>
    <w:p w:rsidR="007C3EA2" w:rsidRPr="002936F0" w:rsidRDefault="00342F6D" w:rsidP="00787C0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7C3EA2" w:rsidRPr="002936F0" w:rsidRDefault="00342F6D" w:rsidP="00787C0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плата за сертификат ключа ЭЦП;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По договорам страхования период, к которому относятся расходы, равен сроку действия договора. По другим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расходам, которые относятся к будущим периодам, длительность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руководителя учреждения в приказе.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7C3EA2" w:rsidRPr="000B4C55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CB45C5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Резерв расходов по выплатам отпускных персоналу. Порядок расчета резерва приведен в </w:t>
      </w:r>
      <w:r w:rsidR="00342F6D"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sz w:val="24"/>
          <w:szCs w:val="24"/>
          <w:lang w:val="ru-RU"/>
        </w:rPr>
        <w:t xml:space="preserve"> 13</w:t>
      </w:r>
      <w:r w:rsidR="00342F6D"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CB45C5"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Доходы от целевых субсидий по соглашению, заключенному на срок более года, учреждение отражает на счетах:</w:t>
      </w:r>
    </w:p>
    <w:p w:rsidR="007C3EA2" w:rsidRPr="002936F0" w:rsidRDefault="00342F6D" w:rsidP="00787C01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7C3EA2" w:rsidRPr="002936F0" w:rsidRDefault="00342F6D" w:rsidP="00787C01">
      <w:pPr>
        <w:numPr>
          <w:ilvl w:val="0"/>
          <w:numId w:val="4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7C3EA2" w:rsidRPr="002936F0" w:rsidRDefault="007C3EA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7C3EA2" w:rsidRPr="000B4C55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обязательств (денежных обязательств) осуществляется в порядке, приведенном </w:t>
      </w:r>
      <w:r w:rsidRPr="00B730AA">
        <w:rPr>
          <w:rFonts w:hAnsi="Times New Roman" w:cs="Times New Roman"/>
          <w:sz w:val="24"/>
          <w:szCs w:val="24"/>
          <w:lang w:val="ru-RU"/>
        </w:rPr>
        <w:t>в приложении</w:t>
      </w:r>
      <w:r w:rsidR="00A90B39">
        <w:rPr>
          <w:rFonts w:hAnsi="Times New Roman" w:cs="Times New Roman"/>
          <w:sz w:val="24"/>
          <w:szCs w:val="24"/>
          <w:lang w:val="ru-RU"/>
        </w:rPr>
        <w:t xml:space="preserve"> 14</w:t>
      </w:r>
      <w:r w:rsidRPr="00B730AA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7C3EA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A90B39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События после отчетной даты</w:t>
      </w:r>
    </w:p>
    <w:p w:rsidR="007C3EA2" w:rsidRPr="00CB45C5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B0F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даты осуществляется в порядке, приведенном в 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="00A90B39">
        <w:rPr>
          <w:rFonts w:hAnsi="Times New Roman" w:cs="Times New Roman"/>
          <w:sz w:val="24"/>
          <w:szCs w:val="24"/>
          <w:lang w:val="ru-RU"/>
        </w:rPr>
        <w:t xml:space="preserve"> 15</w:t>
      </w:r>
      <w:bookmarkStart w:id="0" w:name="_GoBack"/>
      <w:bookmarkEnd w:id="0"/>
      <w:r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7C3EA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D01964" w:rsidP="00787C01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7C3EA2" w:rsidRPr="002936F0" w:rsidRDefault="00342F6D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 ведению бухучета, устанавливаются следующие сроки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отчетности: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="00035082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 за отчетным периодом;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следующего за отчетным годом.</w:t>
      </w:r>
    </w:p>
    <w:p w:rsidR="007C3EA2" w:rsidRPr="002936F0" w:rsidRDefault="0003508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Бухгалтерская отчетность формируется системе 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B4C55">
        <w:rPr>
          <w:rFonts w:hAnsi="Times New Roman" w:cs="Times New Roman"/>
          <w:color w:val="000000"/>
          <w:sz w:val="24"/>
          <w:szCs w:val="24"/>
        </w:rPr>
        <w:t>Web</w:t>
      </w:r>
      <w:r w:rsidR="000B4C55" w:rsidRPr="000B4C5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консолидация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06.12.2011 №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7C3EA2" w:rsidRPr="00D01964" w:rsidRDefault="007C3EA2" w:rsidP="0078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3EA2" w:rsidRPr="00D01964" w:rsidSect="00787C01">
      <w:pgSz w:w="11907" w:h="16839"/>
      <w:pgMar w:top="1135" w:right="1275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3">
    <w:nsid w:val="05327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C2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A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56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71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E33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86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95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B6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35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31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35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97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00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54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D5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55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D2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56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57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92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F23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04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2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C7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82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95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B0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F0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F17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441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91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41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15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46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>
    <w:nsid w:val="695F2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D7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5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E7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F1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F7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85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1E0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247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4A6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DA1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C42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41"/>
  </w:num>
  <w:num w:numId="4">
    <w:abstractNumId w:val="46"/>
  </w:num>
  <w:num w:numId="5">
    <w:abstractNumId w:val="16"/>
  </w:num>
  <w:num w:numId="6">
    <w:abstractNumId w:val="26"/>
  </w:num>
  <w:num w:numId="7">
    <w:abstractNumId w:val="12"/>
  </w:num>
  <w:num w:numId="8">
    <w:abstractNumId w:val="1"/>
  </w:num>
  <w:num w:numId="9">
    <w:abstractNumId w:val="20"/>
  </w:num>
  <w:num w:numId="10">
    <w:abstractNumId w:val="30"/>
  </w:num>
  <w:num w:numId="11">
    <w:abstractNumId w:val="33"/>
  </w:num>
  <w:num w:numId="12">
    <w:abstractNumId w:val="8"/>
  </w:num>
  <w:num w:numId="13">
    <w:abstractNumId w:val="25"/>
  </w:num>
  <w:num w:numId="14">
    <w:abstractNumId w:val="2"/>
  </w:num>
  <w:num w:numId="15">
    <w:abstractNumId w:val="18"/>
  </w:num>
  <w:num w:numId="16">
    <w:abstractNumId w:val="7"/>
  </w:num>
  <w:num w:numId="17">
    <w:abstractNumId w:val="35"/>
  </w:num>
  <w:num w:numId="18">
    <w:abstractNumId w:val="0"/>
  </w:num>
  <w:num w:numId="19">
    <w:abstractNumId w:val="14"/>
  </w:num>
  <w:num w:numId="20">
    <w:abstractNumId w:val="19"/>
  </w:num>
  <w:num w:numId="21">
    <w:abstractNumId w:val="37"/>
  </w:num>
  <w:num w:numId="22">
    <w:abstractNumId w:val="36"/>
  </w:num>
  <w:num w:numId="23">
    <w:abstractNumId w:val="9"/>
  </w:num>
  <w:num w:numId="24">
    <w:abstractNumId w:val="44"/>
  </w:num>
  <w:num w:numId="25">
    <w:abstractNumId w:val="23"/>
  </w:num>
  <w:num w:numId="26">
    <w:abstractNumId w:val="38"/>
  </w:num>
  <w:num w:numId="27">
    <w:abstractNumId w:val="11"/>
  </w:num>
  <w:num w:numId="28">
    <w:abstractNumId w:val="29"/>
  </w:num>
  <w:num w:numId="29">
    <w:abstractNumId w:val="28"/>
  </w:num>
  <w:num w:numId="30">
    <w:abstractNumId w:val="4"/>
  </w:num>
  <w:num w:numId="31">
    <w:abstractNumId w:val="24"/>
  </w:num>
  <w:num w:numId="32">
    <w:abstractNumId w:val="13"/>
  </w:num>
  <w:num w:numId="33">
    <w:abstractNumId w:val="45"/>
  </w:num>
  <w:num w:numId="34">
    <w:abstractNumId w:val="43"/>
  </w:num>
  <w:num w:numId="35">
    <w:abstractNumId w:val="47"/>
  </w:num>
  <w:num w:numId="36">
    <w:abstractNumId w:val="3"/>
  </w:num>
  <w:num w:numId="37">
    <w:abstractNumId w:val="22"/>
  </w:num>
  <w:num w:numId="38">
    <w:abstractNumId w:val="39"/>
  </w:num>
  <w:num w:numId="39">
    <w:abstractNumId w:val="27"/>
  </w:num>
  <w:num w:numId="40">
    <w:abstractNumId w:val="15"/>
  </w:num>
  <w:num w:numId="41">
    <w:abstractNumId w:val="10"/>
  </w:num>
  <w:num w:numId="42">
    <w:abstractNumId w:val="49"/>
  </w:num>
  <w:num w:numId="43">
    <w:abstractNumId w:val="5"/>
  </w:num>
  <w:num w:numId="44">
    <w:abstractNumId w:val="21"/>
  </w:num>
  <w:num w:numId="45">
    <w:abstractNumId w:val="42"/>
  </w:num>
  <w:num w:numId="46">
    <w:abstractNumId w:val="32"/>
  </w:num>
  <w:num w:numId="47">
    <w:abstractNumId w:val="48"/>
  </w:num>
  <w:num w:numId="48">
    <w:abstractNumId w:val="40"/>
  </w:num>
  <w:num w:numId="49">
    <w:abstractNumId w:val="31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5082"/>
    <w:rsid w:val="000B4C55"/>
    <w:rsid w:val="00257BB8"/>
    <w:rsid w:val="002936F0"/>
    <w:rsid w:val="002D33B1"/>
    <w:rsid w:val="002D3591"/>
    <w:rsid w:val="00342F6D"/>
    <w:rsid w:val="003514A0"/>
    <w:rsid w:val="003C06FE"/>
    <w:rsid w:val="003E37AD"/>
    <w:rsid w:val="00421B60"/>
    <w:rsid w:val="00454764"/>
    <w:rsid w:val="004840E4"/>
    <w:rsid w:val="004A3E7E"/>
    <w:rsid w:val="004F7E17"/>
    <w:rsid w:val="00575E12"/>
    <w:rsid w:val="005A05CE"/>
    <w:rsid w:val="005E4A46"/>
    <w:rsid w:val="00653AF6"/>
    <w:rsid w:val="00693A56"/>
    <w:rsid w:val="006F7F93"/>
    <w:rsid w:val="00787C01"/>
    <w:rsid w:val="007C3EA2"/>
    <w:rsid w:val="008E70CC"/>
    <w:rsid w:val="009A0D97"/>
    <w:rsid w:val="00A90B39"/>
    <w:rsid w:val="00A9129F"/>
    <w:rsid w:val="00AE5ABE"/>
    <w:rsid w:val="00B730AA"/>
    <w:rsid w:val="00B73A5A"/>
    <w:rsid w:val="00BF7ED6"/>
    <w:rsid w:val="00C15A2A"/>
    <w:rsid w:val="00C94155"/>
    <w:rsid w:val="00CB45C5"/>
    <w:rsid w:val="00D01964"/>
    <w:rsid w:val="00D70B9B"/>
    <w:rsid w:val="00DF518A"/>
    <w:rsid w:val="00E015F1"/>
    <w:rsid w:val="00E11E21"/>
    <w:rsid w:val="00E25C64"/>
    <w:rsid w:val="00E438A1"/>
    <w:rsid w:val="00E55702"/>
    <w:rsid w:val="00EB214F"/>
    <w:rsid w:val="00EB450F"/>
    <w:rsid w:val="00F01E19"/>
    <w:rsid w:val="00F26749"/>
    <w:rsid w:val="00F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7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0C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7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0C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dc:description>Подготовлено экспертами Актион-МЦФЭР</dc:description>
  <cp:lastModifiedBy>user</cp:lastModifiedBy>
  <cp:revision>15</cp:revision>
  <cp:lastPrinted>2023-01-10T12:04:00Z</cp:lastPrinted>
  <dcterms:created xsi:type="dcterms:W3CDTF">2023-01-09T14:00:00Z</dcterms:created>
  <dcterms:modified xsi:type="dcterms:W3CDTF">2023-01-10T12:08:00Z</dcterms:modified>
</cp:coreProperties>
</file>